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1E19" w:rsidRDefault="00FF1E19" w:rsidP="00FF1E19">
      <w:pPr>
        <w:ind w:firstLine="709"/>
        <w:jc w:val="center"/>
        <w:rPr>
          <w:rFonts w:ascii="Times New Roman" w:eastAsia="Times New Roman" w:hAnsi="Times New Roman" w:cs="Times New Roman"/>
          <w:color w:val="000000"/>
          <w:sz w:val="28"/>
          <w:szCs w:val="28"/>
          <w:lang w:eastAsia="ru-RU"/>
        </w:rPr>
      </w:pPr>
      <w:r>
        <w:rPr>
          <w:rFonts w:ascii="Times New Roman" w:hAnsi="Times New Roman" w:cs="Times New Roman"/>
          <w:b/>
          <w:bCs/>
          <w:color w:val="000000"/>
          <w:sz w:val="28"/>
          <w:szCs w:val="28"/>
        </w:rPr>
        <w:t>Учет выбытия основных средств</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Объект недвижимости, зданий и оборудования необходимо периодически</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проверять на обесценение в соответствии с МСБУ (IAS) 36 «Обесценение активов». Согласно МСБУ 36 организация пересматривает балансовую стоимость активов, определяет возмещаемую стоимость актива и признает или возвращает убыток от обесценения.</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Обесценение или утрата объектов недвижимости, зданий и оборудования,</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соответствующие требования выплаты возмещения или его выплаты третьими сторонами и любые последующие приобретения или сооружения замещающих активов являются отдельными экономическими событиями и должны учитываться как таковые. Четыре экономических события должны учитываться раздельно, следующим образом:</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1) обесценение объектов недвижимости, зданий и оборудования должно</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признаваться в соответствии с МСБУ 36;</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2) списание или выбытие объектов недвижимости, зданий и оборудования должно признаваться в соответствии с МСБУ 16;</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3) компенсация от третьих сторон по объектам недвижимости, зданий и</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оборудования, которые обесценились, были утрачены или оставлены, должна включаться в отчет о прибылях и убытках на момент признания; и</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4) первоначальная стоимость активов, восстановленных, закупленных или</w:t>
      </w:r>
    </w:p>
    <w:p w:rsidR="00FF1E19" w:rsidRDefault="00FF1E19" w:rsidP="00FF1E19">
      <w:pPr>
        <w:pStyle w:val="a3"/>
        <w:spacing w:before="0" w:beforeAutospacing="0" w:after="0" w:afterAutospacing="0"/>
        <w:ind w:firstLine="709"/>
        <w:jc w:val="both"/>
        <w:rPr>
          <w:color w:val="000000"/>
          <w:sz w:val="28"/>
          <w:szCs w:val="28"/>
        </w:rPr>
      </w:pPr>
      <w:proofErr w:type="gramStart"/>
      <w:r>
        <w:rPr>
          <w:color w:val="000000"/>
          <w:sz w:val="28"/>
          <w:szCs w:val="28"/>
        </w:rPr>
        <w:t>сооруженных</w:t>
      </w:r>
      <w:proofErr w:type="gramEnd"/>
      <w:r>
        <w:rPr>
          <w:color w:val="000000"/>
          <w:sz w:val="28"/>
          <w:szCs w:val="28"/>
        </w:rPr>
        <w:t xml:space="preserve"> с целью замещения, или полученных в качестве возмещения, должна определяться и представляться согласно МСБУ 16.</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Убыток от обесценения, признанный до окончания первого годового учетного периода, начинающего после объединения бизнеса, являющимся приобретением, учитывается согласно МСБУ (IAS) 22 «Объединение бизнеса».</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Объекты недвижимости, зданий и оборудования должны быть списаны с баланса при выбытии или, когда от их использования или выбытия не ожидается получение никакой экономической выгоды, в день, когда критерии для продажи товаров согласно МСБУ (IAS) 18 доходы будут выполнены. В случае</w:t>
      </w:r>
      <w:proofErr w:type="gramStart"/>
      <w:r>
        <w:rPr>
          <w:color w:val="000000"/>
          <w:sz w:val="28"/>
          <w:szCs w:val="28"/>
        </w:rPr>
        <w:t>,</w:t>
      </w:r>
      <w:proofErr w:type="gramEnd"/>
      <w:r>
        <w:rPr>
          <w:color w:val="000000"/>
          <w:sz w:val="28"/>
          <w:szCs w:val="28"/>
        </w:rPr>
        <w:t xml:space="preserve"> если часть единицы актива, которая включена в балансовую стоимость данной единицы, была заменена, то необходимо списать с баланса ее учетную стоимость.</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Основные средства выбывают в результате полного износа, реализации, безвозмездной передачи, чрезвычайных ситуаций, взносов в уставный капитал других предприятий. При выбытии используются счета 7410 и 6210 и соответствующие аналитические счета.</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Прибыль или убытки, возникающие от прекращения признания, должны</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определяться в отчете о прибылях и убытках как разница между оценочной суммой чистых поступлений от выбытия и балансовой стоимостью актива. Прибыль, которую организацию при ликвидации объектов недвижимости, зданий и оборудования не должна классифицироваться как доход.</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Выбытие основных средств, т.е. списание его с бухгалтерского учета, может происходить в случае передачи права собственности на основное средство (продажи, безвозмездной передачи, передачи в виде вклада в уставный капитал), ликвидации основного средства ввиду морального и физического износа или в связи с чрезвычайными обстоятельствами (после аварии, стихийного бедствия).</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 xml:space="preserve">Доходы и расходы, возникающие в связи со списанием основного средства, подлежат зачислению на счет прибылей и убытков в качестве операционных </w:t>
      </w:r>
      <w:r>
        <w:rPr>
          <w:color w:val="000000"/>
          <w:sz w:val="28"/>
          <w:szCs w:val="28"/>
        </w:rPr>
        <w:lastRenderedPageBreak/>
        <w:t>доходов и расходов. Выручка от реализации основного средства оценивается в соответствии с условиями договора; расходы по выбытию – по сумме фактических расходов по реализации, демонтажу, разборке, утилизации; полученные в результате разборки основного средства материальные ценности – по рыночной цене их возможной реализации.</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А что касается раскрытия информации, МСБУ (IAS) 16 требует раскрытия следующей информации для каждого класса объектов недвижимости, зданий и оборудования:</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1) базы измерения, используемые для определения валовой балансовой стоимости активов. Если использовались разные базы, должна раскрываться валовая балансовая стоимость активов по каждой группе объектов недвижимости, зданий и оборудования;</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2) используемые методы амортизации, сроки полезной службы и нормы амортизации по каждому классу активов;</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3) валовая балансовая стоимость и начисленная амортизация (в совокупности с накопленными убытками от обесценения) на начало и на конец периода;</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4) сверка балансовой стоимости на начало и конец периода, отражающая:</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 приобретение,</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 выбытие согласно МСФО (IFRS) 5 «Долгосрочные активы, предназначенные для продажи и прекращенная деятельность»,</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 приобретение путем объединения бизнеса,</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 увеличение или снижение, возникающее в результате переоценок,</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 убытки от обесценения, признанные в отчете о прибылях и убытках в течение периода согласно МСБУ 36;</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 убытки от обесценения, возвращенные в отчете о прибылях и убытках в течение периода согласно МСБУ 36;</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 амортизацию;</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 чистые курсовые разницы, возникающие в результате перевода из функциональной валюты в валюту презентации;</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 прочие изменения.</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Финансовая отчетность также должна включать:</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 наличие и сумма ограничений на использование объектов недвижимости, зданий и оборудования, а также объекты недвижимости, зданий и оборудования, находящиеся в залоге в качестве обеспечения исполнения обязательств.</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 величину затрат, включенных в стоимость объектов недвижимости, зданий и оборудования, находящихся в процессе строительства</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 сумму обязательств по приобретению объектов недвижимости, зданий и оборудования.</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 если не раскрыто отдельно в отчете о результатах финансово-хозяйственной деятельности, сумму компенсаций третьих сторон за обесцененные и утерянные объекты недвижимости, зданий и оборудования, включенные в отчет о результатах финансово-хозяйственной деятельности.</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Если объекты недвижимости, зданий и оборудования отражены по переоцененной стоимости, необходимы следующие раскрытия для каждого класса активов:</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 дата проведения переоценки;</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lastRenderedPageBreak/>
        <w:t>– привлекался ли независимый оценщик;</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 метод и основные предположения, примененные в оценке справедливой стоимости активов;</w:t>
      </w:r>
    </w:p>
    <w:p w:rsidR="00FF1E19" w:rsidRDefault="00FF1E19" w:rsidP="00FF1E19">
      <w:pPr>
        <w:pStyle w:val="a3"/>
        <w:spacing w:before="0" w:beforeAutospacing="0" w:after="0" w:afterAutospacing="0"/>
        <w:ind w:firstLine="709"/>
        <w:jc w:val="both"/>
        <w:rPr>
          <w:color w:val="000000"/>
          <w:sz w:val="28"/>
          <w:szCs w:val="28"/>
        </w:rPr>
      </w:pPr>
      <w:proofErr w:type="gramStart"/>
      <w:r>
        <w:rPr>
          <w:color w:val="000000"/>
          <w:sz w:val="28"/>
          <w:szCs w:val="28"/>
        </w:rPr>
        <w:t>– степень, в которой справедливая стоимость активов была определена на основании действующих цен на активных рынках или была основана на недавних сделка между хорошо осведомленными, желающими совершить такую сделку независимыми друг от друга сторонами;</w:t>
      </w:r>
      <w:proofErr w:type="gramEnd"/>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 для каждого переоцененного класса объектов недвижимости, зданий и оборудования, балансовую стоимость как если бы переоценка не проводилась;</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 дополнительный неоплаченный капитал от переоценки объектов недвижимости, зданий и оборудования с указанием изменения за период и любые ограничения по распределению баланса акционерам.</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Кроме того, следующая информация уместна в финансовой отчетности:</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1) балансовую стоимость временно простаивающих объектов недвижимости, зданий и оборудования;</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2) валовую балансовую стоимость всех полностью амортизированных, но еще используемых объектов недвижимости, зданий и оборудования;</w:t>
      </w:r>
    </w:p>
    <w:p w:rsidR="00FF1E19" w:rsidRDefault="00FF1E19" w:rsidP="00FF1E19">
      <w:pPr>
        <w:pStyle w:val="a3"/>
        <w:spacing w:before="0" w:beforeAutospacing="0" w:after="0" w:afterAutospacing="0"/>
        <w:ind w:firstLine="709"/>
        <w:jc w:val="both"/>
        <w:rPr>
          <w:color w:val="000000"/>
          <w:sz w:val="28"/>
          <w:szCs w:val="28"/>
        </w:rPr>
      </w:pPr>
      <w:proofErr w:type="gramStart"/>
      <w:r>
        <w:rPr>
          <w:color w:val="000000"/>
          <w:sz w:val="28"/>
          <w:szCs w:val="28"/>
        </w:rPr>
        <w:t>3) балансовую стоимость недвижимости, зданий и оборудования, активная</w:t>
      </w:r>
      <w:proofErr w:type="gramEnd"/>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 xml:space="preserve">эксплуатация которых прекращена и которые предназначены для выбытия; </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4) при применении основного порядка учета - справедливую стоимость</w:t>
      </w:r>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 xml:space="preserve">недвижимости, зданий и оборудования, если она существенно отличается </w:t>
      </w:r>
      <w:proofErr w:type="gramStart"/>
      <w:r>
        <w:rPr>
          <w:color w:val="000000"/>
          <w:sz w:val="28"/>
          <w:szCs w:val="28"/>
        </w:rPr>
        <w:t>от</w:t>
      </w:r>
      <w:proofErr w:type="gramEnd"/>
    </w:p>
    <w:p w:rsidR="00FF1E19" w:rsidRDefault="00FF1E19" w:rsidP="00FF1E19">
      <w:pPr>
        <w:pStyle w:val="a3"/>
        <w:spacing w:before="0" w:beforeAutospacing="0" w:after="0" w:afterAutospacing="0"/>
        <w:ind w:firstLine="709"/>
        <w:jc w:val="both"/>
        <w:rPr>
          <w:color w:val="000000"/>
          <w:sz w:val="28"/>
          <w:szCs w:val="28"/>
        </w:rPr>
      </w:pPr>
      <w:r>
        <w:rPr>
          <w:color w:val="000000"/>
          <w:sz w:val="28"/>
          <w:szCs w:val="28"/>
        </w:rPr>
        <w:t>балансовой стоимости.</w:t>
      </w:r>
    </w:p>
    <w:p w:rsidR="00FF1E19" w:rsidRDefault="00FF1E19" w:rsidP="00FF1E19">
      <w:pPr>
        <w:ind w:firstLine="709"/>
        <w:jc w:val="both"/>
        <w:rPr>
          <w:sz w:val="28"/>
          <w:szCs w:val="28"/>
        </w:rPr>
      </w:pPr>
    </w:p>
    <w:p w:rsidR="000E5821" w:rsidRDefault="000E5821"/>
    <w:sectPr w:rsidR="000E5821" w:rsidSect="00190430">
      <w:pgSz w:w="11906" w:h="16838"/>
      <w:pgMar w:top="851" w:right="850"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FF1E19"/>
    <w:rsid w:val="000E5821"/>
    <w:rsid w:val="00190430"/>
    <w:rsid w:val="00543310"/>
    <w:rsid w:val="00CB51F6"/>
    <w:rsid w:val="00FF1E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E1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F1E19"/>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12087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1029</Words>
  <Characters>5866</Characters>
  <Application>Microsoft Office Word</Application>
  <DocSecurity>0</DocSecurity>
  <Lines>48</Lines>
  <Paragraphs>13</Paragraphs>
  <ScaleCrop>false</ScaleCrop>
  <Company/>
  <LinksUpToDate>false</LinksUpToDate>
  <CharactersWithSpaces>6882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2021-02-28T16:57:00Z</dcterms:created>
  <dcterms:modified xsi:type="dcterms:W3CDTF">2021-02-28T17:01:00Z</dcterms:modified>
</cp:coreProperties>
</file>